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color w:val="c00000"/>
          <w:u w:val="single"/>
          <w:rtl w:val="0"/>
        </w:rPr>
        <w:t xml:space="preserve">WYMAGANIA EDUKACYJNE</w:t>
      </w:r>
      <w:r w:rsidDel="00000000" w:rsidR="00000000" w:rsidRPr="00000000">
        <w:rPr>
          <w:rtl w:val="0"/>
        </w:rPr>
      </w:r>
    </w:p>
    <w:tbl>
      <w:tblPr>
        <w:tblStyle w:val="Table1"/>
        <w:tblW w:w="1486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52"/>
        <w:gridCol w:w="236"/>
        <w:gridCol w:w="7380"/>
        <w:tblGridChange w:id="0">
          <w:tblGrid>
            <w:gridCol w:w="7252"/>
            <w:gridCol w:w="236"/>
            <w:gridCol w:w="7380"/>
          </w:tblGrid>
        </w:tblGridChange>
      </w:tblGrid>
      <w:tr>
        <w:trPr>
          <w:trHeight w:val="2580" w:hRule="atLeast"/>
        </w:trPr>
        <w:tc>
          <w:tcPr>
            <w:tcBorders>
              <w:top w:color="548dd4" w:space="0" w:sz="24" w:val="single"/>
              <w:left w:color="548dd4" w:space="0" w:sz="24" w:val="single"/>
              <w:bottom w:color="548dd4" w:space="0" w:sz="24" w:val="single"/>
              <w:right w:color="548dd4" w:space="0" w:sz="24" w:val="single"/>
            </w:tcBorders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WSTĘPNA DIAGNOZA 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/imię i nazwisko/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hanging="357"/>
              <w:rPr>
                <w:b w:val="0"/>
                <w:color w:val="33339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99"/>
                <w:sz w:val="24"/>
                <w:szCs w:val="24"/>
                <w:rtl w:val="0"/>
              </w:rPr>
              <w:t xml:space="preserve">…………………………………………………………………..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33339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99"/>
                <w:sz w:val="24"/>
                <w:szCs w:val="24"/>
                <w:rtl w:val="0"/>
              </w:rPr>
              <w:t xml:space="preserve">…………………………………………………………………..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33339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99"/>
                <w:sz w:val="24"/>
                <w:szCs w:val="24"/>
                <w:rtl w:val="0"/>
              </w:rPr>
              <w:t xml:space="preserve">…………………………………………………………………..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33339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99"/>
                <w:sz w:val="24"/>
                <w:szCs w:val="24"/>
                <w:rtl w:val="0"/>
              </w:rPr>
              <w:t xml:space="preserve">…………………………………………………………………..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33339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99"/>
                <w:sz w:val="24"/>
                <w:szCs w:val="24"/>
                <w:rtl w:val="0"/>
              </w:rPr>
              <w:t xml:space="preserve">…………………………………………………………………..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33339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333399"/>
                <w:sz w:val="24"/>
                <w:szCs w:val="24"/>
                <w:rtl w:val="0"/>
              </w:rPr>
              <w:t xml:space="preserve">…………………………………………………………………..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548dd4" w:space="0" w:sz="24" w:val="single"/>
              <w:bottom w:color="ffffff" w:space="0" w:sz="24" w:val="single"/>
              <w:right w:color="92d050" w:space="0" w:sz="2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d050" w:space="0" w:sz="24" w:val="single"/>
              <w:left w:color="92d050" w:space="0" w:sz="24" w:val="single"/>
              <w:bottom w:color="92d050" w:space="0" w:sz="24" w:val="single"/>
              <w:right w:color="92d050" w:space="0" w:sz="2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b w:val="1"/>
                <w:color w:val="76923c"/>
              </w:rPr>
            </w:pPr>
            <w:r w:rsidDel="00000000" w:rsidR="00000000" w:rsidRPr="00000000">
              <w:rPr>
                <w:b w:val="1"/>
                <w:color w:val="76923c"/>
                <w:rtl w:val="0"/>
              </w:rPr>
              <w:t xml:space="preserve">SFORMUŁOWANIE  INDYWIDUALNYCH CELÓW </w:t>
            </w:r>
            <w:r w:rsidDel="00000000" w:rsidR="00000000" w:rsidRPr="00000000">
              <w:rPr>
                <w:color w:val="76923c"/>
                <w:sz w:val="16"/>
                <w:szCs w:val="16"/>
                <w:rtl w:val="0"/>
              </w:rPr>
              <w:t xml:space="preserve">/ podstawa programowa/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hanging="357"/>
              <w:rPr>
                <w:b w:val="0"/>
                <w:color w:val="76923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76923c"/>
                <w:sz w:val="24"/>
                <w:szCs w:val="24"/>
                <w:rtl w:val="0"/>
              </w:rPr>
              <w:t xml:space="preserve">…………………………………………………………………….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76923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76923c"/>
                <w:sz w:val="24"/>
                <w:szCs w:val="24"/>
                <w:rtl w:val="0"/>
              </w:rPr>
              <w:t xml:space="preserve">…………………………………………………………….............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76923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76923c"/>
                <w:sz w:val="24"/>
                <w:szCs w:val="24"/>
                <w:rtl w:val="0"/>
              </w:rPr>
              <w:t xml:space="preserve">…………………………………………………………………….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76923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76923c"/>
                <w:sz w:val="24"/>
                <w:szCs w:val="24"/>
                <w:rtl w:val="0"/>
              </w:rPr>
              <w:t xml:space="preserve">…………………………………………………………………….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76923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76923c"/>
                <w:sz w:val="24"/>
                <w:szCs w:val="24"/>
                <w:rtl w:val="0"/>
              </w:rPr>
              <w:t xml:space="preserve">…………………………………………………………………….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hanging="357"/>
              <w:rPr>
                <w:b w:val="0"/>
                <w:color w:val="76923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76923c"/>
                <w:sz w:val="24"/>
                <w:szCs w:val="24"/>
                <w:rtl w:val="0"/>
              </w:rPr>
              <w:t xml:space="preserve">……………………………………………………………………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tcBorders>
              <w:top w:color="548dd4" w:space="0" w:sz="24" w:val="single"/>
              <w:left w:color="ffffff" w:space="0" w:sz="24" w:val="single"/>
              <w:bottom w:color="ffc000" w:space="0" w:sz="2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4" w:val="single"/>
              <w:bottom w:color="ffc000" w:space="0" w:sz="2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2d050" w:space="0" w:sz="24" w:val="single"/>
              <w:left w:color="ffffff" w:space="0" w:sz="4" w:val="single"/>
              <w:bottom w:color="ffc000" w:space="0" w:sz="24" w:val="single"/>
              <w:right w:color="ffffff" w:space="0" w:sz="2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20" w:hRule="atLeast"/>
        </w:trPr>
        <w:tc>
          <w:tcPr>
            <w:gridSpan w:val="3"/>
            <w:tcBorders>
              <w:top w:color="ffc000" w:space="0" w:sz="24" w:val="single"/>
              <w:left w:color="ffc000" w:space="0" w:sz="24" w:val="single"/>
              <w:bottom w:color="ffc000" w:space="0" w:sz="24" w:val="single"/>
              <w:right w:color="ffc000" w:space="0" w:sz="2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firstLine="0"/>
              <w:rPr>
                <w:rFonts w:ascii="Calibri" w:cs="Calibri" w:eastAsia="Calibri" w:hAnsi="Calibri"/>
                <w:b w:val="0"/>
                <w:color w:val="e36c0a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36c0a"/>
                <w:sz w:val="22"/>
                <w:szCs w:val="22"/>
                <w:rtl w:val="0"/>
              </w:rPr>
              <w:t xml:space="preserve">MIERNIKI OCENY -USTALENIE KRYTERIÓW – CO BĘDĘ OCENIAŁ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e36c0a"/>
                <w:sz w:val="16"/>
                <w:szCs w:val="16"/>
                <w:rtl w:val="0"/>
              </w:rPr>
              <w:t xml:space="preserve">/ program nauczania – treści kształcenia /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Kryteriami oceny powinny być spełnienie wymagań programowych dla danego roku, postępy w zdobywaniu wiedzy i umiejętności technicznych  oraz  muzycznych (ocenianie różnicowe), stopień opanowania repertuaru, systematyczność i pilność pracy ucznia w zakresie: </w:t>
            </w:r>
            <w:r w:rsidDel="00000000" w:rsidR="00000000" w:rsidRPr="00000000">
              <w:rPr>
                <w:b w:val="1"/>
                <w:rtl w:val="0"/>
              </w:rPr>
              <w:t xml:space="preserve">umiejętności gry na instrumencie </w:t>
            </w:r>
            <w:r w:rsidDel="00000000" w:rsidR="00000000" w:rsidRPr="00000000">
              <w:rPr>
                <w:rtl w:val="0"/>
              </w:rPr>
              <w:t xml:space="preserve">(prawidłowej postawy oraz aparatu gry, jakości wydobywanego dźwięku, nabywania umiejętności technicznych, prawidłowego odczytywania tekstu i czytania a’vista, muzykowania zespołowego, poznania literatury instrumentu); </w:t>
            </w:r>
            <w:r w:rsidDel="00000000" w:rsidR="00000000" w:rsidRPr="00000000">
              <w:rPr>
                <w:b w:val="1"/>
                <w:rtl w:val="0"/>
              </w:rPr>
              <w:t xml:space="preserve">jakości pracy samodzielnej</w:t>
            </w:r>
            <w:r w:rsidDel="00000000" w:rsidR="00000000" w:rsidRPr="00000000">
              <w:rPr>
                <w:rtl w:val="0"/>
              </w:rPr>
              <w:t xml:space="preserve">; </w:t>
            </w:r>
            <w:r w:rsidDel="00000000" w:rsidR="00000000" w:rsidRPr="00000000">
              <w:rPr>
                <w:b w:val="1"/>
                <w:rtl w:val="0"/>
              </w:rPr>
              <w:t xml:space="preserve">udziału w życiu artystycznym i występów publicznych</w:t>
            </w:r>
            <w:r w:rsidDel="00000000" w:rsidR="00000000" w:rsidRPr="00000000">
              <w:rPr>
                <w:rtl w:val="0"/>
              </w:rPr>
              <w:t xml:space="preserve">; </w:t>
            </w:r>
            <w:r w:rsidDel="00000000" w:rsidR="00000000" w:rsidRPr="00000000">
              <w:rPr>
                <w:b w:val="1"/>
                <w:rtl w:val="0"/>
              </w:rPr>
              <w:t xml:space="preserve">teoretycznych podstaw gry na instrumencie </w:t>
            </w:r>
            <w:r w:rsidDel="00000000" w:rsidR="00000000" w:rsidRPr="00000000">
              <w:rPr>
                <w:rtl w:val="0"/>
              </w:rPr>
              <w:t xml:space="preserve">(wiedzy na temat notacji, nazewnictwa i określeń muzycznych, skali, historii, roli w zespole, budowy,  strojenia, obsługi i konserwacji instrumentu).</w:t>
            </w:r>
          </w:p>
        </w:tc>
      </w:tr>
      <w:tr>
        <w:trPr>
          <w:trHeight w:val="20" w:hRule="atLeast"/>
        </w:trPr>
        <w:tc>
          <w:tcPr>
            <w:tcBorders>
              <w:top w:color="ffc000" w:space="0" w:sz="2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2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c000" w:space="0" w:sz="2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OCENA CELUJĄCA –</w:t>
            </w:r>
            <w:r w:rsidDel="00000000" w:rsidR="00000000" w:rsidRPr="00000000">
              <w:rPr>
                <w:b w:val="1"/>
                <w:color w:val="c00000"/>
                <w:sz w:val="20"/>
                <w:szCs w:val="20"/>
                <w:rtl w:val="0"/>
              </w:rPr>
              <w:t xml:space="preserve">wymagania wykraczające</w:t>
            </w:r>
            <w:r w:rsidDel="00000000" w:rsidR="00000000" w:rsidRPr="00000000">
              <w:rPr>
                <w:color w:val="c00000"/>
                <w:sz w:val="20"/>
                <w:szCs w:val="20"/>
                <w:rtl w:val="0"/>
              </w:rPr>
              <w:t xml:space="preserve">-treści pozaprogramowe, wykraczające trudnością ponad program nauczania , oryginalne i twórcze naukowo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Uczeń gra wzorowo, wartość artystyczna jego występów jest szczególnie wysoka i rzadko osiągana w danej klasie lub szkole biegle posługuje się nabytymi zdolnościami w rozwiązywaniu problemów praktycznych z programu nauczania danej klasy, rozwiązuje również problemy wykraczające poza program nauczania tej klasy osiąga sukcesy w konkursach. </w:t>
            </w:r>
          </w:p>
        </w:tc>
      </w:tr>
      <w:tr>
        <w:trPr>
          <w:trHeight w:val="1060" w:hRule="atLeast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OCENA BARDZO DOBRA-</w:t>
            </w:r>
            <w:r w:rsidDel="00000000" w:rsidR="00000000" w:rsidRPr="00000000">
              <w:rPr>
                <w:b w:val="1"/>
                <w:color w:val="c00000"/>
                <w:sz w:val="20"/>
                <w:szCs w:val="20"/>
                <w:rtl w:val="0"/>
              </w:rPr>
              <w:t xml:space="preserve">wymagania dopełniające-</w:t>
            </w:r>
            <w:r w:rsidDel="00000000" w:rsidR="00000000" w:rsidRPr="00000000">
              <w:rPr>
                <w:color w:val="c00000"/>
                <w:sz w:val="20"/>
                <w:szCs w:val="20"/>
                <w:rtl w:val="0"/>
              </w:rPr>
              <w:t xml:space="preserve">treści trudne do opanowania, najbardziej złożone, twórcze naukowo, wyspecjalizowane, wymagające </w:t>
              <w:br w:type="textWrapping"/>
              <w:t xml:space="preserve">z  korzystania z różnych źródeł   wiedzy : </w:t>
            </w:r>
            <w:r w:rsidDel="00000000" w:rsidR="00000000" w:rsidRPr="00000000">
              <w:rPr>
                <w:rtl w:val="0"/>
              </w:rPr>
              <w:t xml:space="preserve">Uczeń gra bezbłędnie technicznie i interesująco od strony muzycznej opanował pełny zakres wiedzy i umiejętności określony programem nauczania przedmiotu w danej klasie sprawnie posługuje się zdobytymi wiadomościami i umiejętnościami rozwiązuje samodzielnie problemy teoretyczne i praktyczne ujęte programem nauczania (czytanie nut, interpretacja utworu, itp.)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Cambria" w:cs="Cambria" w:eastAsia="Cambria" w:hAnsi="Cambria"/>
                <w:color w:val="c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OCENA DOBRA-</w:t>
            </w:r>
            <w:r w:rsidDel="00000000" w:rsidR="00000000" w:rsidRPr="00000000">
              <w:rPr>
                <w:b w:val="1"/>
                <w:color w:val="c00000"/>
                <w:sz w:val="20"/>
                <w:szCs w:val="20"/>
                <w:rtl w:val="0"/>
              </w:rPr>
              <w:t xml:space="preserve">wymagania rozszerzające-</w:t>
            </w:r>
            <w:r w:rsidDel="00000000" w:rsidR="00000000" w:rsidRPr="00000000">
              <w:rPr>
                <w:color w:val="c00000"/>
                <w:sz w:val="20"/>
                <w:szCs w:val="20"/>
                <w:rtl w:val="0"/>
              </w:rPr>
              <w:t xml:space="preserve">treści umiarkowanie przystępne, bardziej złożone i mniej typowe, przydatne, ale nie niezbędne w dalszym kształceniu, pośrednio użyteczne w pozaszkolnej działalności ucznia: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Uczeń opanował program w stopniu bardzo dobrym, lecz jego wykonanie posiadało niedociągnięcia techniczne, muzyczne lub intonacyjne poprawnie stosuje wiadomości, rozwiązuje samodzielnie typowe zadania teoretyczne i praktyczne (czytanie nut, interpretacja utworu, itp.)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OCENA DOSTATECZNA-</w:t>
            </w:r>
            <w:r w:rsidDel="00000000" w:rsidR="00000000" w:rsidRPr="00000000">
              <w:rPr>
                <w:b w:val="1"/>
                <w:color w:val="c00000"/>
                <w:sz w:val="20"/>
                <w:szCs w:val="20"/>
                <w:rtl w:val="0"/>
              </w:rPr>
              <w:t xml:space="preserve">wymagania podstawowe</w:t>
            </w:r>
            <w:r w:rsidDel="00000000" w:rsidR="00000000" w:rsidRPr="00000000">
              <w:rPr>
                <w:color w:val="c00000"/>
                <w:sz w:val="20"/>
                <w:szCs w:val="20"/>
                <w:rtl w:val="0"/>
              </w:rPr>
              <w:t xml:space="preserve">-treści najbardziej przystępne, najprostsze i uniwersalne, niezbędne na danym etapie kształcenia i na wyższych etapach oraz przydatne w życiu pozaszkolnym, a jednocześnie rozwijające zainteresowania ucznia :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Uczeń gra z brakami technicznymi, intonacyjnymi lub muzycznymi, posiada trudności z opanowaniem pamięciowym programu gdy rozwiązuje typowe zadania o średnim stopniu trudności, czasem przy pomocy nauczyciela.</w:t>
            </w:r>
          </w:p>
        </w:tc>
      </w:tr>
      <w:tr>
        <w:trPr>
          <w:trHeight w:val="880" w:hRule="atLeast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OCENA DOPUSZCZAJĄCA- </w:t>
            </w:r>
            <w:r w:rsidDel="00000000" w:rsidR="00000000" w:rsidRPr="00000000">
              <w:rPr>
                <w:b w:val="1"/>
                <w:color w:val="c00000"/>
                <w:sz w:val="20"/>
                <w:szCs w:val="20"/>
                <w:rtl w:val="0"/>
              </w:rPr>
              <w:t xml:space="preserve">wymagania konieczne- </w:t>
            </w:r>
            <w:r w:rsidDel="00000000" w:rsidR="00000000" w:rsidRPr="00000000">
              <w:rPr>
                <w:color w:val="c00000"/>
                <w:sz w:val="20"/>
                <w:szCs w:val="20"/>
                <w:rtl w:val="0"/>
              </w:rPr>
              <w:t xml:space="preserve">treści niezbędne w dalszej edukacji, łatwe, najczęściej stosowane, możliwie praktyczne: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Uczeń opanował program w stopniu podstawowym z wyraźnymi brakami technicznymi i muzycznymi, jest mało zainteresowany przedmiotem, nie jest w stanie przygotować programu na pamięć.  Poprawnie rozwiązuje(często przy pomocy nauczyciela)typowe zadania o niewielkim stopniu trudności.</w:t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Cambria" w:cs="Cambria" w:eastAsia="Cambria" w:hAnsi="Cambria"/>
          <w:color w:val="c0000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Formy sprawdzania osiągnięć ucznia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Osiągnięcia uczniów sprawdzane są w sposób ciągły podczas lekcji, występów szkolnych (popisy, audycje) przesłuchań, konkursów i koncertów w sposób następujący: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Egzamin promocyjny (na zakończenie roku).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Przepytanie ucznia ze znajomości instrumentarium i poprawnego nazewnictwa (raz w półroczu).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Kontrola i korekta aparatu gry (na każdej lekcji).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bieżąca postępów w rozwoju muzycznym i technicznym ucznia (raz w miesiącu).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Kontrola i korekta  poprawności samodzielnego  czytania nut (na bieżąco na  lekcjach).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pracy samodzielnej ucznia pod względem poprawności tekstowej i techniczno-wykonawczej (na bieżąco na  lekcjach).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występu ucznia na szkolnej audycji, przesłuchaniu lub koncercie.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center"/>
        <w:rPr>
          <w:rFonts w:ascii="Cambria" w:cs="Cambria" w:eastAsia="Cambria" w:hAnsi="Cambria"/>
          <w:color w:val="c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Odczytanie na ocenę utworu a’vista w wolnym tempie, z uwzględnieniem precyzji tekstowej i rytmicznej (na zakończenie roku</w:t>
      </w:r>
      <w:r w:rsidDel="00000000" w:rsidR="00000000" w:rsidRPr="00000000">
        <w:rPr>
          <w:color w:val="000000"/>
          <w:rtl w:val="0"/>
        </w:rPr>
        <w:t xml:space="preserve">).</w:t>
      </w:r>
      <w:r w:rsidDel="00000000" w:rsidR="00000000" w:rsidRPr="00000000">
        <w:rPr>
          <w:rFonts w:ascii="Cambria" w:cs="Cambria" w:eastAsia="Cambria" w:hAnsi="Cambria"/>
          <w:color w:val="c00000"/>
          <w:u w:val="single"/>
          <w:rtl w:val="0"/>
        </w:rPr>
        <w:t xml:space="preserve"> </w:t>
      </w:r>
    </w:p>
    <w:sectPr>
      <w:pgSz w:h="11906" w:w="16838"/>
      <w:pgMar w:bottom="340" w:top="39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